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75.0" w:type="dxa"/>
        <w:jc w:val="left"/>
        <w:tblInd w:w="-115.0" w:type="dxa"/>
        <w:tblBorders>
          <w:top w:color="5b2b5f" w:space="0" w:sz="4" w:val="single"/>
          <w:left w:color="5b2b5f" w:space="0" w:sz="4" w:val="single"/>
          <w:bottom w:color="5b2b5f" w:space="0" w:sz="4" w:val="single"/>
          <w:right w:color="5b2b5f" w:space="0" w:sz="4" w:val="single"/>
          <w:insideH w:color="5b2b5f" w:space="0" w:sz="4" w:val="single"/>
          <w:insideV w:color="5b2b5f" w:space="0" w:sz="4" w:val="single"/>
        </w:tblBorders>
        <w:tblLayout w:type="fixed"/>
        <w:tblLook w:val="0400"/>
      </w:tblPr>
      <w:tblGrid>
        <w:gridCol w:w="2145"/>
        <w:gridCol w:w="4957"/>
        <w:gridCol w:w="929"/>
        <w:gridCol w:w="929"/>
        <w:gridCol w:w="929"/>
        <w:gridCol w:w="929"/>
        <w:gridCol w:w="1957"/>
        <w:tblGridChange w:id="0">
          <w:tblGrid>
            <w:gridCol w:w="2145"/>
            <w:gridCol w:w="4957"/>
            <w:gridCol w:w="929"/>
            <w:gridCol w:w="929"/>
            <w:gridCol w:w="929"/>
            <w:gridCol w:w="929"/>
            <w:gridCol w:w="1957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5b2b5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b2b5f"/>
                <w:sz w:val="28"/>
                <w:szCs w:val="28"/>
                <w:rtl w:val="0"/>
              </w:rPr>
              <w:t xml:space="preserve">Performance Targets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76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2021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202</w:t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  <w:rtl w:val="0"/>
              </w:rPr>
              <w:t xml:space="preserve">2024 target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Gr. K-2: % at/above literacy benchmark (DIBELS)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students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b w:val="1"/>
                <w:color w:val="5b2b5f"/>
                <w:rtl w:val="0"/>
              </w:rPr>
              <w:t xml:space="preserve">TBD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Economically disadvantaged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with disabilities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Gr. 3 – 5: average ELA year-end percentile rank (STAR)</w:t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b w:val="1"/>
                <w:color w:val="5b2b5f"/>
                <w:u w:val="single"/>
                <w:rtl w:val="0"/>
              </w:rPr>
              <w:t xml:space="preserve">&gt;</w:t>
            </w:r>
            <w:r w:rsidDel="00000000" w:rsidR="00000000" w:rsidRPr="00000000">
              <w:rPr>
                <w:b w:val="1"/>
                <w:color w:val="5b2b5f"/>
                <w:rtl w:val="0"/>
              </w:rPr>
              <w:t xml:space="preserve">60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Economically disadvantaged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with disabilities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Gr. 3 – 5: average Math year-end percentile rank (STAR)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students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b w:val="1"/>
                <w:color w:val="5b2b5f"/>
                <w:rtl w:val="0"/>
              </w:rPr>
              <w:t xml:space="preserve">65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Economically disadvantaged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with disabilities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right"/>
              <w:rPr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Gr. 1 – 5: % absent &gt;= 10% of enrolled attendance days</w:t>
            </w:r>
            <w:r w:rsidDel="00000000" w:rsidR="00000000" w:rsidRPr="00000000">
              <w:rPr>
                <w:color w:val="000000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color w:val="1c449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2b5f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c449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2b5f" w:space="0" w:sz="4" w:val="single"/>
            </w:tcBorders>
          </w:tcPr>
          <w:p w:rsidR="00000000" w:rsidDel="00000000" w:rsidP="00000000" w:rsidRDefault="00000000" w:rsidRPr="00000000" w14:paraId="00000071">
            <w:pPr>
              <w:jc w:val="righ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Gr. K – 5: % &gt;= 5 discipline referrals</w:t>
            </w:r>
          </w:p>
        </w:tc>
        <w:tc>
          <w:tcPr>
            <w:tcBorders>
              <w:bottom w:color="5b2b5f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5b2b5f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bottom w:color="5b2b5f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bottom w:color="5b2b5f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2b5f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b w:val="1"/>
                <w:color w:val="5b2b5f"/>
                <w:rtl w:val="0"/>
              </w:rPr>
              <w:t xml:space="preserve">&lt;3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775.0" w:type="dxa"/>
        <w:jc w:val="left"/>
        <w:tblInd w:w="-115.0" w:type="dxa"/>
        <w:tblBorders>
          <w:top w:color="5b2b5f" w:space="0" w:sz="4" w:val="single"/>
          <w:left w:color="5b2b5f" w:space="0" w:sz="4" w:val="single"/>
          <w:bottom w:color="5b2b5f" w:space="0" w:sz="4" w:val="single"/>
          <w:right w:color="5b2b5f" w:space="0" w:sz="4" w:val="single"/>
          <w:insideH w:color="5b2b5f" w:space="0" w:sz="4" w:val="single"/>
          <w:insideV w:color="5b2b5f" w:space="0" w:sz="4" w:val="single"/>
        </w:tblBorders>
        <w:tblLayout w:type="fixed"/>
        <w:tblLook w:val="0400"/>
      </w:tblPr>
      <w:tblGrid>
        <w:gridCol w:w="2245"/>
        <w:gridCol w:w="7740"/>
        <w:gridCol w:w="1695"/>
        <w:gridCol w:w="1095"/>
        <w:tblGridChange w:id="0">
          <w:tblGrid>
            <w:gridCol w:w="2245"/>
            <w:gridCol w:w="7740"/>
            <w:gridCol w:w="1695"/>
            <w:gridCol w:w="109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7C">
            <w:pPr>
              <w:rPr>
                <w:b w:val="1"/>
                <w:color w:val="1c449c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2022 – 25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Action step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Owner</w:t>
            </w:r>
          </w:p>
        </w:tc>
        <w:tc>
          <w:tcPr>
            <w:tcBorders>
              <w:lef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Due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b w:val="1"/>
                <w:color w:val="1c449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1">
            <w:pPr>
              <w:rPr>
                <w:b w:val="1"/>
                <w:color w:val="5b2b5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2b5f"/>
                <w:sz w:val="24"/>
                <w:szCs w:val="24"/>
                <w:rtl w:val="0"/>
              </w:rPr>
              <w:t xml:space="preserve">Use literacy curriculum, instruction and assessments to foster a district-wide love of reading and writing.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c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Continue to expand and refine the use of assessments to identify skill deficits.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ELA Reps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Summer of 2022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Continue the professional development of teachers in the use of the curriculum and assessments in literacy.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Coach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Administrators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Director of C &amp; I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Ongoing 2022-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Refine or expand the use of  assessment data (DIBELS, PAST, QPS, etc) to drive instruction.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Coach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Administrators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Director of C &amp; I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Grade level and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Dept. Chairs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Ongoing 2022-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color w:val="5b2b5f"/>
                <w:sz w:val="24"/>
                <w:szCs w:val="24"/>
                <w:rtl w:val="0"/>
              </w:rPr>
              <w:t xml:space="preserve">Address students' physical, social, emotional, mental health and academic needs through a robust multi-tiered system of supports and interventions.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Research and select an SEL assessment tool.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Administrators, APS Team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Spring 2022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Train staff on the selected SEL tool. Develop and roll out Tier 1 interventions for SEL.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PBIS Committee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Summer- October 2022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5b2b5f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Administer the SEL assessment tool in the K-5 buildings.</w:t>
            </w:r>
          </w:p>
        </w:tc>
        <w:tc>
          <w:tcPr>
            <w:tcBorders>
              <w:bottom w:color="5b2b5f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Classroom Teachers</w:t>
            </w:r>
          </w:p>
        </w:tc>
        <w:tc>
          <w:tcPr>
            <w:tcBorders>
              <w:bottom w:color="5b2b5f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Select a PBIS sub committee to train in Tier 2 interventions.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APS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May 2022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D">
            <w:pPr>
              <w:rPr>
                <w:b w:val="1"/>
                <w:color w:val="5b2b5f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E">
            <w:pPr>
              <w:rPr>
                <w:b w:val="1"/>
                <w:color w:val="5b2b5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5b2b5f"/>
                <w:sz w:val="24"/>
                <w:szCs w:val="24"/>
                <w:rtl w:val="0"/>
              </w:rPr>
              <w:t xml:space="preserve">Implement clear processes, protocols and expectations for the collection, analysis and use of student data to support achieving building-level goals.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Continue and expand the deep dive into data of ELA and Math assessments.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Curriculum Committee and Grade level and Dept. Chairs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Ongoing 2022-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Implement a review of SEL data and its implications at APS and faculty meetings.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APS and Building Admins.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October-June of 2022-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 Establish a structured data review cycle.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Instructional Coaches and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Admins.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Summer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747.0" w:type="dxa"/>
        <w:jc w:val="left"/>
        <w:tblInd w:w="-115.0" w:type="dxa"/>
        <w:tblBorders>
          <w:top w:color="5b2b5f" w:space="0" w:sz="4" w:val="single"/>
          <w:left w:color="5b2b5f" w:space="0" w:sz="4" w:val="single"/>
          <w:bottom w:color="5b2b5f" w:space="0" w:sz="4" w:val="single"/>
          <w:right w:color="5b2b5f" w:space="0" w:sz="4" w:val="single"/>
          <w:insideH w:color="5b2b5f" w:space="0" w:sz="4" w:val="single"/>
          <w:insideV w:color="5b2b5f" w:space="0" w:sz="4" w:val="single"/>
        </w:tblBorders>
        <w:tblLayout w:type="fixed"/>
        <w:tblLook w:val="0400"/>
      </w:tblPr>
      <w:tblGrid>
        <w:gridCol w:w="2145"/>
        <w:gridCol w:w="4957"/>
        <w:gridCol w:w="929"/>
        <w:gridCol w:w="929"/>
        <w:gridCol w:w="929"/>
        <w:gridCol w:w="929"/>
        <w:gridCol w:w="929"/>
        <w:tblGridChange w:id="0">
          <w:tblGrid>
            <w:gridCol w:w="2145"/>
            <w:gridCol w:w="4957"/>
            <w:gridCol w:w="929"/>
            <w:gridCol w:w="929"/>
            <w:gridCol w:w="929"/>
            <w:gridCol w:w="929"/>
            <w:gridCol w:w="929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b w:val="1"/>
                <w:color w:val="5b2b5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5b2b5f"/>
                <w:sz w:val="28"/>
                <w:szCs w:val="28"/>
                <w:rtl w:val="0"/>
              </w:rPr>
              <w:t xml:space="preserve">Appendix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b w:val="1"/>
                <w:color w:val="1c449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  <w:color w:val="76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Measure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2018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2020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2021</w:t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  <w:shd w:fill="5b2b5f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Gr. 3 – 5: % proficient (NYS ELA assessment)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Economically disadvantaged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with disabilities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Gr. 4 – 5: Student Growth Percentile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(NYS ELA)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Gr. 4 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Gr. 5 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Gr. 3 – 5: % proficient (NYS Math assessment)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Economically disadvantaged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with disabilities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Gr. 4 – 5: Student Growth Percentile (NYS Math)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students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Gr. 4 Math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>
                <w:b w:val="1"/>
                <w:color w:val="5b2b5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Gr. 5 Math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2240" w:w="15840" w:orient="landscape"/>
      <w:pgMar w:bottom="1008" w:top="1987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b2b5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b2b5f"/>
        <w:sz w:val="28"/>
        <w:szCs w:val="28"/>
        <w:u w:val="none"/>
        <w:shd w:fill="auto" w:val="clear"/>
        <w:vertAlign w:val="baseline"/>
        <w:rtl w:val="0"/>
      </w:rPr>
      <w:t xml:space="preserve">Educating and empowering each learner to achieve excellence and build a better world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50800</wp:posOffset>
              </wp:positionV>
              <wp:extent cx="100965" cy="1009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0280" y="3734280"/>
                        <a:ext cx="91440" cy="91440"/>
                      </a:xfrm>
                      <a:prstGeom prst="ellipse">
                        <a:avLst/>
                      </a:prstGeom>
                      <a:solidFill>
                        <a:srgbClr val="5B2B5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50800</wp:posOffset>
              </wp:positionV>
              <wp:extent cx="100965" cy="1009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100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7277100</wp:posOffset>
              </wp:positionH>
              <wp:positionV relativeFrom="paragraph">
                <wp:posOffset>63500</wp:posOffset>
              </wp:positionV>
              <wp:extent cx="100965" cy="10096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0280" y="3734280"/>
                        <a:ext cx="91440" cy="91440"/>
                      </a:xfrm>
                      <a:prstGeom prst="ellipse">
                        <a:avLst/>
                      </a:prstGeom>
                      <a:solidFill>
                        <a:srgbClr val="5B2B5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7277100</wp:posOffset>
              </wp:positionH>
              <wp:positionV relativeFrom="paragraph">
                <wp:posOffset>63500</wp:posOffset>
              </wp:positionV>
              <wp:extent cx="100965" cy="10096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100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 &amp; 2017 based on SIRS 361; 2018  beyond based on SIRS 107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4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 score &gt; 50 means we are exceeding the average growth of similar students across NYS; a score &lt; 50 means we are lagging the average growth of similar students across NYS. Under ESSA, the state considers a score of &gt; 54 Highly Effective (Level 4), while 50.1 - 54 is Effective (Level 3), 45.1 - 50 is Developing </w:t>
        <w:br w:type="textWrapping"/>
        <w:t xml:space="preserve">(Level 2) and &lt; 45 is Ineffective (Level 1).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5b2b5f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b2b5f"/>
        <w:sz w:val="32"/>
        <w:szCs w:val="32"/>
        <w:u w:val="none"/>
        <w:shd w:fill="auto" w:val="clear"/>
        <w:vertAlign w:val="baseline"/>
        <w:rtl w:val="0"/>
      </w:rPr>
      <w:t xml:space="preserve">Dryden PK – 5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-65404</wp:posOffset>
          </wp:positionH>
          <wp:positionV relativeFrom="paragraph">
            <wp:posOffset>-89534</wp:posOffset>
          </wp:positionV>
          <wp:extent cx="691515" cy="68072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1515" cy="680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5b2b5f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color w:val="5b2b5f"/>
        <w:sz w:val="32"/>
        <w:szCs w:val="32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b2b5f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color w:val="5b2b5f"/>
        <w:sz w:val="32"/>
        <w:szCs w:val="32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b2b5f"/>
        <w:sz w:val="32"/>
        <w:szCs w:val="32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b w:val="1"/>
        <w:color w:val="5b2b5f"/>
        <w:sz w:val="32"/>
        <w:szCs w:val="32"/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5b2b5f"/>
        <w:sz w:val="32"/>
        <w:szCs w:val="32"/>
        <w:u w:val="none"/>
        <w:shd w:fill="auto" w:val="clear"/>
        <w:vertAlign w:val="baseline"/>
        <w:rtl w:val="0"/>
      </w:rPr>
      <w:t xml:space="preserve"> Strategic Plan</w:t>
    </w:r>
  </w:p>
  <w:p w:rsidR="00000000" w:rsidDel="00000000" w:rsidP="00000000" w:rsidRDefault="00000000" w:rsidRPr="00000000" w14:paraId="000001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